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D3" w:rsidRPr="00CD1032" w:rsidRDefault="006144D3">
      <w:pPr>
        <w:rPr>
          <w:rFonts w:ascii="Arial" w:hAnsi="Arial"/>
          <w:b/>
          <w:sz w:val="22"/>
        </w:rPr>
      </w:pPr>
      <w:r w:rsidRPr="00CD1032">
        <w:rPr>
          <w:rFonts w:ascii="Arial" w:hAnsi="Arial"/>
          <w:b/>
          <w:sz w:val="22"/>
        </w:rPr>
        <w:t>Tip Sheet:  Stages of Change Model</w:t>
      </w:r>
      <w:r w:rsidR="004330F9" w:rsidRPr="00CD1032">
        <w:rPr>
          <w:rFonts w:ascii="Arial" w:hAnsi="Arial"/>
          <w:b/>
          <w:sz w:val="22"/>
        </w:rPr>
        <w:t xml:space="preserve"> </w:t>
      </w:r>
      <w:r w:rsidR="00B81A6C" w:rsidRPr="00CD1032">
        <w:rPr>
          <w:rFonts w:ascii="Arial" w:hAnsi="Arial"/>
          <w:b/>
          <w:sz w:val="22"/>
        </w:rPr>
        <w:fldChar w:fldCharType="begin"/>
      </w:r>
      <w:r w:rsidR="00CD1032">
        <w:rPr>
          <w:rFonts w:ascii="Arial" w:hAnsi="Arial"/>
          <w:b/>
          <w:sz w:val="22"/>
        </w:rPr>
        <w:instrText xml:space="preserve"> ADDIN EN.CITE &lt;EndNote&gt;&lt;Cite&gt;&lt;Author&gt;Prochaska&lt;/Author&gt;&lt;Year&gt;1983&lt;/Year&gt;&lt;RecNum&gt;277&lt;/RecNum&gt;&lt;record&gt;&lt;rec-number&gt;277&lt;/rec-number&gt;&lt;foreign-keys&gt;&lt;key app="EN" db-id="r0saaawe0p2p9yea0ecv2vxc9x25xzprwpze"&gt;277&lt;/key&gt;&lt;/foreign-keys&gt;&lt;ref-type name="Journal Article"&gt;17&lt;/ref-type&gt;&lt;contributors&gt;&lt;authors&gt;&lt;author&gt;J O Prochaska &lt;/author&gt;&lt;author&gt;C C DiClemente &lt;/author&gt;&lt;/authors&gt;&lt;/contributors&gt;&lt;titles&gt;&lt;title&gt;Stages and processes of self-change of smoking: Toward an integrative model of change&lt;/title&gt;&lt;secondary-title&gt;Journal of Consulting Clinical Psychology&lt;/secondary-title&gt;&lt;/titles&gt;&lt;periodical&gt;&lt;full-title&gt;Journal of Consulting Clinical Psychology&lt;/full-title&gt;&lt;/periodical&gt;&lt;pages&gt;390-395&lt;/pages&gt;&lt;volume&gt;51&lt;/volume&gt;&lt;number&gt;3&lt;/number&gt;&lt;dates&gt;&lt;year&gt;1983&lt;/year&gt;&lt;/dates&gt;&lt;urls&gt;&lt;/urls&gt;&lt;/record&gt;&lt;/Cite&gt;&lt;/EndNote&gt;</w:instrText>
      </w:r>
      <w:r w:rsidR="00B81A6C" w:rsidRPr="00CD1032">
        <w:rPr>
          <w:rFonts w:ascii="Arial" w:hAnsi="Arial"/>
          <w:b/>
          <w:sz w:val="22"/>
        </w:rPr>
        <w:fldChar w:fldCharType="separate"/>
      </w:r>
      <w:r w:rsidR="004330F9" w:rsidRPr="00CD1032">
        <w:rPr>
          <w:rFonts w:ascii="Arial" w:hAnsi="Arial"/>
          <w:b/>
          <w:noProof/>
          <w:sz w:val="22"/>
        </w:rPr>
        <w:t>(Prochaska &amp; DiClemente, 1983)</w:t>
      </w:r>
      <w:r w:rsidR="00B81A6C" w:rsidRPr="00CD1032">
        <w:rPr>
          <w:rFonts w:ascii="Arial" w:hAnsi="Arial"/>
          <w:b/>
          <w:sz w:val="22"/>
        </w:rPr>
        <w:fldChar w:fldCharType="end"/>
      </w:r>
    </w:p>
    <w:p w:rsidR="006144D3" w:rsidRPr="00CD1032" w:rsidRDefault="006144D3">
      <w:pPr>
        <w:rPr>
          <w:rFonts w:ascii="Arial" w:hAnsi="Arial"/>
          <w:sz w:val="22"/>
        </w:rPr>
      </w:pPr>
    </w:p>
    <w:p w:rsidR="00CC191C" w:rsidRDefault="006144D3">
      <w:pPr>
        <w:rPr>
          <w:rFonts w:ascii="Arial" w:hAnsi="Arial"/>
          <w:sz w:val="22"/>
        </w:rPr>
      </w:pPr>
      <w:r w:rsidRPr="00CD1032">
        <w:rPr>
          <w:rFonts w:ascii="Arial" w:hAnsi="Arial"/>
          <w:b/>
          <w:sz w:val="22"/>
        </w:rPr>
        <w:t>What is it?</w:t>
      </w:r>
      <w:r w:rsidRPr="00CD1032">
        <w:rPr>
          <w:rFonts w:ascii="Arial" w:hAnsi="Arial"/>
          <w:sz w:val="22"/>
        </w:rPr>
        <w:t xml:space="preserve"> </w:t>
      </w:r>
    </w:p>
    <w:p w:rsidR="00CC191C" w:rsidRDefault="005138D6" w:rsidP="00CC191C">
      <w:pPr>
        <w:pStyle w:val="ListParagraph"/>
        <w:numPr>
          <w:ilvl w:val="0"/>
          <w:numId w:val="1"/>
        </w:numPr>
        <w:rPr>
          <w:rFonts w:ascii="Arial" w:hAnsi="Arial" w:cs="Trebuchet MS"/>
          <w:color w:val="333333"/>
          <w:sz w:val="22"/>
          <w:szCs w:val="26"/>
          <w:lang w:val="en-US"/>
        </w:rPr>
      </w:pPr>
      <w:r w:rsidRPr="00CC191C">
        <w:rPr>
          <w:rFonts w:ascii="Arial" w:hAnsi="Arial" w:cs="Trebuchet MS"/>
          <w:color w:val="333333"/>
          <w:sz w:val="22"/>
          <w:szCs w:val="26"/>
          <w:lang w:val="en-US"/>
        </w:rPr>
        <w:t xml:space="preserve">This model describes six </w:t>
      </w:r>
      <w:r w:rsidR="006144D3" w:rsidRPr="00CC191C">
        <w:rPr>
          <w:rFonts w:ascii="Arial" w:hAnsi="Arial" w:cs="Trebuchet MS"/>
          <w:color w:val="333333"/>
          <w:sz w:val="22"/>
          <w:szCs w:val="26"/>
          <w:lang w:val="en-US"/>
        </w:rPr>
        <w:t>stages that people go through when they undertake a change: precontemplation, contempl</w:t>
      </w:r>
      <w:r w:rsidRPr="00CC191C">
        <w:rPr>
          <w:rFonts w:ascii="Arial" w:hAnsi="Arial" w:cs="Trebuchet MS"/>
          <w:color w:val="333333"/>
          <w:sz w:val="22"/>
          <w:szCs w:val="26"/>
          <w:lang w:val="en-US"/>
        </w:rPr>
        <w:t xml:space="preserve">ation, preparation, action, relapse and </w:t>
      </w:r>
      <w:r w:rsidR="006144D3" w:rsidRPr="00CC191C">
        <w:rPr>
          <w:rFonts w:ascii="Arial" w:hAnsi="Arial" w:cs="Trebuchet MS"/>
          <w:color w:val="333333"/>
          <w:sz w:val="22"/>
          <w:szCs w:val="26"/>
          <w:lang w:val="en-US"/>
        </w:rPr>
        <w:t>maintenance.</w:t>
      </w:r>
    </w:p>
    <w:p w:rsidR="00CC191C" w:rsidRDefault="009645E1" w:rsidP="00CC191C">
      <w:pPr>
        <w:pStyle w:val="ListParagraph"/>
        <w:numPr>
          <w:ilvl w:val="0"/>
          <w:numId w:val="1"/>
        </w:numPr>
        <w:rPr>
          <w:rFonts w:ascii="Arial" w:hAnsi="Arial" w:cs="Trebuchet MS"/>
          <w:color w:val="333333"/>
          <w:sz w:val="22"/>
          <w:szCs w:val="26"/>
          <w:lang w:val="en-US"/>
        </w:rPr>
      </w:pPr>
      <w:r w:rsidRPr="00CC191C">
        <w:rPr>
          <w:rFonts w:ascii="Arial" w:hAnsi="Arial" w:cs="Trebuchet MS"/>
          <w:color w:val="333333"/>
          <w:sz w:val="22"/>
          <w:szCs w:val="26"/>
          <w:lang w:val="en-US"/>
        </w:rPr>
        <w:t xml:space="preserve"> </w:t>
      </w:r>
      <w:r w:rsidR="006144D3" w:rsidRPr="00CC191C">
        <w:rPr>
          <w:rFonts w:ascii="Arial" w:hAnsi="Arial" w:cs="Trebuchet MS"/>
          <w:color w:val="333333"/>
          <w:sz w:val="22"/>
          <w:szCs w:val="26"/>
          <w:lang w:val="en-US"/>
        </w:rPr>
        <w:t>It is the most researched model of change, although most of the research has been in relation to addictions and health issues.</w:t>
      </w:r>
    </w:p>
    <w:p w:rsidR="00CC191C" w:rsidRDefault="009645E1" w:rsidP="00CC191C">
      <w:pPr>
        <w:pStyle w:val="ListParagraph"/>
        <w:numPr>
          <w:ilvl w:val="0"/>
          <w:numId w:val="1"/>
        </w:numPr>
        <w:rPr>
          <w:rFonts w:ascii="Arial" w:hAnsi="Arial" w:cs="Trebuchet MS"/>
          <w:color w:val="333333"/>
          <w:sz w:val="22"/>
          <w:szCs w:val="26"/>
          <w:lang w:val="en-US"/>
        </w:rPr>
      </w:pPr>
      <w:r w:rsidRPr="00CC191C">
        <w:rPr>
          <w:rFonts w:ascii="Arial" w:hAnsi="Arial" w:cs="Trebuchet MS"/>
          <w:color w:val="333333"/>
          <w:sz w:val="22"/>
          <w:szCs w:val="26"/>
          <w:lang w:val="en-US"/>
        </w:rPr>
        <w:t xml:space="preserve"> Motivational interviewing techniques are used to help move </w:t>
      </w:r>
      <w:r w:rsidR="00CC191C" w:rsidRPr="00CC191C">
        <w:rPr>
          <w:rFonts w:ascii="Arial" w:hAnsi="Arial" w:cs="Trebuchet MS"/>
          <w:color w:val="333333"/>
          <w:sz w:val="22"/>
          <w:szCs w:val="26"/>
          <w:lang w:val="en-US"/>
        </w:rPr>
        <w:t>clients</w:t>
      </w:r>
      <w:r w:rsidRPr="00CC191C">
        <w:rPr>
          <w:rFonts w:ascii="Arial" w:hAnsi="Arial" w:cs="Trebuchet MS"/>
          <w:color w:val="333333"/>
          <w:sz w:val="22"/>
          <w:szCs w:val="26"/>
          <w:lang w:val="en-US"/>
        </w:rPr>
        <w:t xml:space="preserve"> through the stages of change.</w:t>
      </w:r>
    </w:p>
    <w:p w:rsidR="006144D3" w:rsidRPr="00CC191C" w:rsidRDefault="00CC191C" w:rsidP="00CC191C">
      <w:pPr>
        <w:pStyle w:val="ListParagraph"/>
        <w:numPr>
          <w:ilvl w:val="0"/>
          <w:numId w:val="1"/>
        </w:numPr>
        <w:rPr>
          <w:rFonts w:ascii="Arial" w:hAnsi="Arial" w:cs="Trebuchet MS"/>
          <w:color w:val="333333"/>
          <w:sz w:val="22"/>
          <w:szCs w:val="26"/>
          <w:lang w:val="en-US"/>
        </w:rPr>
      </w:pPr>
      <w:r>
        <w:rPr>
          <w:rFonts w:ascii="Arial" w:hAnsi="Arial" w:cs="Trebuchet MS"/>
          <w:color w:val="333333"/>
          <w:sz w:val="22"/>
          <w:szCs w:val="26"/>
          <w:lang w:val="en-US"/>
        </w:rPr>
        <w:t>Key criticism: emphasize on discrete mutually exclusive stages.</w:t>
      </w:r>
    </w:p>
    <w:p w:rsidR="006144D3" w:rsidRPr="00CD1032" w:rsidRDefault="006144D3">
      <w:pPr>
        <w:rPr>
          <w:rFonts w:ascii="Arial" w:hAnsi="Arial" w:cs="Trebuchet MS"/>
          <w:color w:val="333333"/>
          <w:sz w:val="22"/>
          <w:szCs w:val="26"/>
          <w:lang w:val="en-US"/>
        </w:rPr>
      </w:pPr>
    </w:p>
    <w:p w:rsidR="006144D3" w:rsidRPr="00CD1032" w:rsidRDefault="004330F9">
      <w:pPr>
        <w:rPr>
          <w:rFonts w:ascii="Arial" w:hAnsi="Arial"/>
          <w:sz w:val="22"/>
        </w:rPr>
      </w:pPr>
      <w:r w:rsidRPr="00CD1032">
        <w:rPr>
          <w:rFonts w:ascii="Arial" w:hAnsi="Arial"/>
          <w:noProof/>
          <w:sz w:val="22"/>
          <w:lang w:eastAsia="en-AU"/>
        </w:rPr>
        <w:drawing>
          <wp:inline distT="0" distB="0" distL="0" distR="0">
            <wp:extent cx="5257800" cy="4064000"/>
            <wp:effectExtent l="25400" t="0" r="0" b="0"/>
            <wp:docPr id="8" name="Picture 1" descr="PSYC 4721 Lectures 6 &amp; 7 Change Large presentation_06042009_Page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YC 4721 Lectures 6 &amp; 7 Change Large presentation_06042009_Page_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8D6" w:rsidRPr="00CD1032" w:rsidRDefault="005138D6">
      <w:pPr>
        <w:rPr>
          <w:rFonts w:ascii="Arial" w:hAnsi="Arial"/>
          <w:b/>
          <w:sz w:val="22"/>
        </w:rPr>
      </w:pPr>
      <w:r w:rsidRPr="00CD1032">
        <w:rPr>
          <w:rFonts w:ascii="Arial" w:hAnsi="Arial"/>
          <w:b/>
          <w:sz w:val="22"/>
        </w:rPr>
        <w:t>Core Constructs of the Model:</w:t>
      </w:r>
    </w:p>
    <w:p w:rsidR="005138D6" w:rsidRPr="00CD1032" w:rsidRDefault="00CC191C">
      <w:pPr>
        <w:rPr>
          <w:rFonts w:ascii="Arial" w:hAnsi="Arial"/>
          <w:sz w:val="22"/>
        </w:rPr>
      </w:pPr>
      <w:r w:rsidRPr="00CD1032">
        <w:rPr>
          <w:rFonts w:ascii="Arial" w:hAnsi="Arial"/>
          <w:b/>
          <w:sz w:val="22"/>
        </w:rPr>
        <w:t>Self-Efficacy</w:t>
      </w:r>
      <w:r w:rsidR="005138D6" w:rsidRPr="00CD1032">
        <w:rPr>
          <w:rFonts w:ascii="Arial" w:hAnsi="Arial"/>
          <w:b/>
          <w:sz w:val="22"/>
        </w:rPr>
        <w:t>:</w:t>
      </w:r>
      <w:r w:rsidR="005138D6" w:rsidRPr="00CD1032">
        <w:rPr>
          <w:rFonts w:ascii="Arial" w:hAnsi="Arial"/>
          <w:sz w:val="22"/>
        </w:rPr>
        <w:t xml:space="preserve"> </w:t>
      </w:r>
      <w:r w:rsidRPr="00CD1032">
        <w:rPr>
          <w:rFonts w:ascii="Arial" w:hAnsi="Arial"/>
          <w:sz w:val="22"/>
        </w:rPr>
        <w:t>Self-efficacy</w:t>
      </w:r>
      <w:r w:rsidR="00441152" w:rsidRPr="00CD1032">
        <w:rPr>
          <w:rFonts w:ascii="Arial" w:hAnsi="Arial"/>
          <w:sz w:val="22"/>
        </w:rPr>
        <w:t xml:space="preserve"> or confidence </w:t>
      </w:r>
      <w:r w:rsidR="00D52F5D" w:rsidRPr="00CD1032">
        <w:rPr>
          <w:rFonts w:ascii="Arial" w:hAnsi="Arial"/>
          <w:sz w:val="22"/>
        </w:rPr>
        <w:t>that one can ma</w:t>
      </w:r>
      <w:r w:rsidR="00441152" w:rsidRPr="00CD1032">
        <w:rPr>
          <w:rFonts w:ascii="Arial" w:hAnsi="Arial"/>
          <w:sz w:val="22"/>
        </w:rPr>
        <w:t xml:space="preserve">ke the change increases as the </w:t>
      </w:r>
      <w:r w:rsidR="00D52F5D" w:rsidRPr="00CD1032">
        <w:rPr>
          <w:rFonts w:ascii="Arial" w:hAnsi="Arial"/>
          <w:sz w:val="22"/>
        </w:rPr>
        <w:t>client moves through the stages of the model</w:t>
      </w:r>
      <w:r w:rsidR="00441152" w:rsidRPr="00CD1032">
        <w:rPr>
          <w:rFonts w:ascii="Arial" w:hAnsi="Arial"/>
          <w:sz w:val="22"/>
        </w:rPr>
        <w:t xml:space="preserve">.  It is important in the early stages to help the client increase </w:t>
      </w:r>
      <w:r w:rsidRPr="00CD1032">
        <w:rPr>
          <w:rFonts w:ascii="Arial" w:hAnsi="Arial"/>
          <w:sz w:val="22"/>
        </w:rPr>
        <w:t>self-efficacy</w:t>
      </w:r>
      <w:r w:rsidR="00441152" w:rsidRPr="00CD1032">
        <w:rPr>
          <w:rFonts w:ascii="Arial" w:hAnsi="Arial"/>
          <w:sz w:val="22"/>
        </w:rPr>
        <w:t>.</w:t>
      </w:r>
    </w:p>
    <w:p w:rsidR="005138D6" w:rsidRPr="00CD1032" w:rsidRDefault="005138D6">
      <w:pPr>
        <w:rPr>
          <w:rFonts w:ascii="Arial" w:hAnsi="Arial"/>
          <w:sz w:val="22"/>
        </w:rPr>
      </w:pPr>
    </w:p>
    <w:p w:rsidR="006144D3" w:rsidRPr="00CD1032" w:rsidRDefault="005138D6">
      <w:pPr>
        <w:rPr>
          <w:rFonts w:ascii="Arial" w:hAnsi="Arial"/>
          <w:sz w:val="22"/>
        </w:rPr>
      </w:pPr>
      <w:r w:rsidRPr="00CD1032">
        <w:rPr>
          <w:rFonts w:ascii="Arial" w:hAnsi="Arial"/>
          <w:b/>
          <w:sz w:val="22"/>
        </w:rPr>
        <w:t>Decisional balance or weighing up the pros and cons of making a change:</w:t>
      </w:r>
      <w:r w:rsidR="00441152" w:rsidRPr="00CD1032">
        <w:rPr>
          <w:rFonts w:ascii="Arial" w:hAnsi="Arial"/>
          <w:sz w:val="22"/>
        </w:rPr>
        <w:t xml:space="preserve"> In the early stages the cons of making the change outweigh the co</w:t>
      </w:r>
      <w:r w:rsidR="009645E1" w:rsidRPr="00CD1032">
        <w:rPr>
          <w:rFonts w:ascii="Arial" w:hAnsi="Arial"/>
          <w:sz w:val="22"/>
        </w:rPr>
        <w:t xml:space="preserve">ns, however by the preparation stage this </w:t>
      </w:r>
      <w:r w:rsidR="00CC191C">
        <w:rPr>
          <w:rFonts w:ascii="Arial" w:hAnsi="Arial"/>
          <w:sz w:val="22"/>
        </w:rPr>
        <w:t>is reversed</w:t>
      </w:r>
      <w:r w:rsidR="009645E1" w:rsidRPr="00CD1032">
        <w:rPr>
          <w:rFonts w:ascii="Arial" w:hAnsi="Arial"/>
          <w:sz w:val="22"/>
        </w:rPr>
        <w:t xml:space="preserve"> and the pros out weigh the cons.  Helping the client explore pros and cons is essential to helping them move from </w:t>
      </w:r>
      <w:r w:rsidR="00CC191C">
        <w:rPr>
          <w:rFonts w:ascii="Arial" w:hAnsi="Arial"/>
          <w:sz w:val="22"/>
        </w:rPr>
        <w:t>the contemplation to preparation stage</w:t>
      </w:r>
    </w:p>
    <w:p w:rsidR="006144D3" w:rsidRPr="00CD1032" w:rsidRDefault="006144D3">
      <w:pPr>
        <w:rPr>
          <w:rFonts w:ascii="Arial" w:hAnsi="Arial"/>
          <w:sz w:val="22"/>
        </w:rPr>
      </w:pPr>
    </w:p>
    <w:tbl>
      <w:tblPr>
        <w:tblW w:w="9740" w:type="dxa"/>
        <w:tblBorders>
          <w:top w:val="single" w:sz="8" w:space="0" w:color="003366"/>
          <w:left w:val="single" w:sz="8" w:space="0" w:color="003366"/>
          <w:right w:val="single" w:sz="8" w:space="0" w:color="003366"/>
        </w:tblBorders>
        <w:tblLayout w:type="fixed"/>
        <w:tblLook w:val="0000"/>
      </w:tblPr>
      <w:tblGrid>
        <w:gridCol w:w="2305"/>
        <w:gridCol w:w="3427"/>
        <w:gridCol w:w="4008"/>
      </w:tblGrid>
      <w:tr w:rsidR="005138D6" w:rsidRPr="00CD1032">
        <w:tc>
          <w:tcPr>
            <w:tcW w:w="2220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420"/>
              <w:jc w:val="center"/>
              <w:rPr>
                <w:rFonts w:ascii="Arial" w:hAnsi="Arial" w:cs="Times"/>
                <w:b/>
                <w:bCs/>
                <w:sz w:val="18"/>
                <w:szCs w:val="64"/>
                <w:lang w:val="en-US"/>
              </w:rPr>
            </w:pPr>
            <w:r w:rsidRPr="00CD1032">
              <w:rPr>
                <w:rFonts w:ascii="Arial" w:hAnsi="Arial" w:cs="Arial"/>
                <w:b/>
                <w:bCs/>
                <w:color w:val="003366"/>
                <w:sz w:val="18"/>
                <w:szCs w:val="26"/>
                <w:lang w:val="en-US"/>
              </w:rPr>
              <w:t>Stage of Change</w:t>
            </w:r>
          </w:p>
        </w:tc>
        <w:tc>
          <w:tcPr>
            <w:tcW w:w="330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420"/>
              <w:jc w:val="center"/>
              <w:rPr>
                <w:rFonts w:ascii="Arial" w:hAnsi="Arial" w:cs="Times"/>
                <w:b/>
                <w:bCs/>
                <w:sz w:val="18"/>
                <w:szCs w:val="64"/>
                <w:lang w:val="en-US"/>
              </w:rPr>
            </w:pPr>
            <w:r w:rsidRPr="00CD1032">
              <w:rPr>
                <w:rFonts w:ascii="Arial" w:hAnsi="Arial" w:cs="Arial"/>
                <w:b/>
                <w:bCs/>
                <w:color w:val="003366"/>
                <w:sz w:val="18"/>
                <w:szCs w:val="26"/>
                <w:lang w:val="en-US"/>
              </w:rPr>
              <w:t>Characteristics</w:t>
            </w:r>
          </w:p>
        </w:tc>
        <w:tc>
          <w:tcPr>
            <w:tcW w:w="38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420"/>
              <w:jc w:val="center"/>
              <w:rPr>
                <w:rFonts w:ascii="Arial" w:hAnsi="Arial" w:cs="Times"/>
                <w:b/>
                <w:bCs/>
                <w:sz w:val="18"/>
                <w:szCs w:val="64"/>
                <w:lang w:val="en-US"/>
              </w:rPr>
            </w:pPr>
            <w:r w:rsidRPr="00CD1032">
              <w:rPr>
                <w:rFonts w:ascii="Arial" w:hAnsi="Arial" w:cs="Arial"/>
                <w:b/>
                <w:bCs/>
                <w:color w:val="003366"/>
                <w:sz w:val="18"/>
                <w:szCs w:val="26"/>
                <w:lang w:val="en-US"/>
              </w:rPr>
              <w:t>Techniques</w:t>
            </w:r>
          </w:p>
        </w:tc>
      </w:tr>
      <w:tr w:rsidR="005138D6" w:rsidRPr="00CD1032">
        <w:tblPrEx>
          <w:tblBorders>
            <w:top w:val="none" w:sz="0" w:space="0" w:color="auto"/>
          </w:tblBorders>
        </w:tblPrEx>
        <w:tc>
          <w:tcPr>
            <w:tcW w:w="2220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color w:val="003366"/>
                <w:sz w:val="18"/>
                <w:szCs w:val="26"/>
                <w:lang w:val="en-US"/>
              </w:rPr>
              <w:t>Pre-contemplation</w:t>
            </w:r>
          </w:p>
        </w:tc>
        <w:tc>
          <w:tcPr>
            <w:tcW w:w="330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Not currently considering change</w:t>
            </w:r>
          </w:p>
        </w:tc>
        <w:tc>
          <w:tcPr>
            <w:tcW w:w="38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D1032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18"/>
                <w:szCs w:val="26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Encou</w:t>
            </w:r>
            <w:r w:rsidR="00D52F5D" w:rsidRPr="00CD1032">
              <w:rPr>
                <w:rFonts w:ascii="Arial" w:hAnsi="Arial" w:cs="Arial"/>
                <w:sz w:val="18"/>
                <w:szCs w:val="26"/>
                <w:lang w:val="en-US"/>
              </w:rPr>
              <w:t>rage self-exploration and increasing self awareness</w:t>
            </w:r>
            <w:r w:rsidR="004330F9"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 especially re problem </w:t>
            </w:r>
            <w:r w:rsidR="00CC191C" w:rsidRPr="00CD1032">
              <w:rPr>
                <w:rFonts w:ascii="Arial" w:hAnsi="Arial" w:cs="Arial"/>
                <w:sz w:val="18"/>
                <w:szCs w:val="26"/>
                <w:lang w:val="en-US"/>
              </w:rPr>
              <w:t>behaviors</w:t>
            </w:r>
          </w:p>
          <w:p w:rsidR="005138D6" w:rsidRPr="00CD1032" w:rsidRDefault="00CC191C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18"/>
                <w:szCs w:val="26"/>
                <w:lang w:val="en-US"/>
              </w:rPr>
            </w:pPr>
            <w:r w:rsidRPr="00CD1032">
              <w:rPr>
                <w:rFonts w:ascii="Arial" w:hAnsi="Arial" w:cs="Times"/>
                <w:sz w:val="18"/>
                <w:szCs w:val="32"/>
                <w:lang w:val="en-US"/>
              </w:rPr>
              <w:lastRenderedPageBreak/>
              <w:t>Validate</w:t>
            </w:r>
            <w:r w:rsidR="004330F9" w:rsidRPr="00CD1032">
              <w:rPr>
                <w:rFonts w:ascii="Arial" w:hAnsi="Arial" w:cs="Times"/>
                <w:sz w:val="18"/>
                <w:szCs w:val="32"/>
                <w:lang w:val="en-US"/>
              </w:rPr>
              <w:t xml:space="preserve"> lack of readiness to change</w:t>
            </w:r>
          </w:p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Explain and personalize the risk</w:t>
            </w:r>
          </w:p>
        </w:tc>
      </w:tr>
      <w:tr w:rsidR="005138D6" w:rsidRPr="00CD1032">
        <w:tblPrEx>
          <w:tblBorders>
            <w:top w:val="none" w:sz="0" w:space="0" w:color="auto"/>
          </w:tblBorders>
        </w:tblPrEx>
        <w:tc>
          <w:tcPr>
            <w:tcW w:w="2220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color w:val="003366"/>
                <w:sz w:val="18"/>
                <w:szCs w:val="26"/>
                <w:lang w:val="en-US"/>
              </w:rPr>
              <w:lastRenderedPageBreak/>
              <w:t>Contemplation</w:t>
            </w:r>
          </w:p>
        </w:tc>
        <w:tc>
          <w:tcPr>
            <w:tcW w:w="330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Ambivalent about change: Not considering change within the next month</w:t>
            </w:r>
          </w:p>
        </w:tc>
        <w:tc>
          <w:tcPr>
            <w:tcW w:w="38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18"/>
                <w:szCs w:val="26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Encourage evaluation of pros and cons of behavior change</w:t>
            </w:r>
          </w:p>
          <w:p w:rsidR="00D52F5D" w:rsidRPr="00CD1032" w:rsidRDefault="00D52F5D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Times"/>
                <w:sz w:val="18"/>
                <w:szCs w:val="32"/>
                <w:lang w:val="en-US"/>
              </w:rPr>
              <w:t>Reflect ambivalence back to the client</w:t>
            </w:r>
          </w:p>
          <w:p w:rsidR="005138D6" w:rsidRPr="00CD1032" w:rsidRDefault="00CC191C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Times"/>
                <w:sz w:val="18"/>
                <w:szCs w:val="32"/>
                <w:lang w:val="en-US"/>
              </w:rPr>
              <w:t>Emphasize</w:t>
            </w:r>
            <w:r w:rsidR="00D52F5D" w:rsidRPr="00CD1032">
              <w:rPr>
                <w:rFonts w:ascii="Arial" w:hAnsi="Arial" w:cs="Times"/>
                <w:sz w:val="18"/>
                <w:szCs w:val="32"/>
                <w:lang w:val="en-US"/>
              </w:rPr>
              <w:t xml:space="preserve"> client choice and </w:t>
            </w:r>
            <w:r w:rsidRPr="00CD1032">
              <w:rPr>
                <w:rFonts w:ascii="Arial" w:hAnsi="Arial" w:cs="Times"/>
                <w:sz w:val="18"/>
                <w:szCs w:val="32"/>
                <w:lang w:val="en-US"/>
              </w:rPr>
              <w:t>responsibility</w:t>
            </w:r>
            <w:r w:rsidR="00D52F5D" w:rsidRPr="00CD1032">
              <w:rPr>
                <w:rFonts w:ascii="Arial" w:hAnsi="Arial" w:cs="Times"/>
                <w:sz w:val="18"/>
                <w:szCs w:val="32"/>
                <w:lang w:val="en-US"/>
              </w:rPr>
              <w:t xml:space="preserve"> to make the change</w:t>
            </w:r>
          </w:p>
        </w:tc>
      </w:tr>
      <w:tr w:rsidR="005138D6" w:rsidRPr="00CD1032">
        <w:tblPrEx>
          <w:tblBorders>
            <w:top w:val="none" w:sz="0" w:space="0" w:color="auto"/>
          </w:tblBorders>
        </w:tblPrEx>
        <w:tc>
          <w:tcPr>
            <w:tcW w:w="2220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color w:val="003366"/>
                <w:sz w:val="18"/>
                <w:szCs w:val="26"/>
                <w:lang w:val="en-US"/>
              </w:rPr>
              <w:t>Preparation</w:t>
            </w:r>
          </w:p>
        </w:tc>
        <w:tc>
          <w:tcPr>
            <w:tcW w:w="330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C191C" w:rsidRDefault="005138D6" w:rsidP="00D52F5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18"/>
                <w:szCs w:val="26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Some experience with change and are trying to change</w:t>
            </w:r>
            <w:r w:rsidR="00CC191C">
              <w:rPr>
                <w:rFonts w:ascii="Arial" w:hAnsi="Arial" w:cs="Arial"/>
                <w:sz w:val="18"/>
                <w:szCs w:val="26"/>
                <w:lang w:val="en-US"/>
              </w:rPr>
              <w:t xml:space="preserve">. </w:t>
            </w: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Planning to act within 1month</w:t>
            </w:r>
          </w:p>
        </w:tc>
        <w:tc>
          <w:tcPr>
            <w:tcW w:w="38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52F5D" w:rsidRPr="00CD1032" w:rsidRDefault="00D52F5D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18"/>
                <w:szCs w:val="26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Help explore different solutions</w:t>
            </w:r>
          </w:p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Identify and assist</w:t>
            </w:r>
            <w:r w:rsidR="00D52F5D"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 in problem solving </w:t>
            </w:r>
          </w:p>
          <w:p w:rsidR="005138D6" w:rsidRPr="00CD1032" w:rsidRDefault="00D52F5D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Help client </w:t>
            </w:r>
            <w:r w:rsidR="005138D6" w:rsidRPr="00CD1032">
              <w:rPr>
                <w:rFonts w:ascii="Arial" w:hAnsi="Arial" w:cs="Arial"/>
                <w:sz w:val="18"/>
                <w:szCs w:val="26"/>
                <w:lang w:val="en-US"/>
              </w:rPr>
              <w:t>identify social support</w:t>
            </w:r>
          </w:p>
          <w:p w:rsidR="005138D6" w:rsidRPr="00CD1032" w:rsidRDefault="00441152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Develop any skills required for </w:t>
            </w:r>
            <w:r w:rsidR="005138D6" w:rsidRPr="00CD1032">
              <w:rPr>
                <w:rFonts w:ascii="Arial" w:hAnsi="Arial" w:cs="Arial"/>
                <w:sz w:val="18"/>
                <w:szCs w:val="26"/>
                <w:lang w:val="en-US"/>
              </w:rPr>
              <w:t>behavior change</w:t>
            </w:r>
          </w:p>
          <w:p w:rsidR="00D52F5D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18"/>
                <w:szCs w:val="26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Encourage small initial steps</w:t>
            </w:r>
          </w:p>
          <w:p w:rsidR="005138D6" w:rsidRPr="00CD1032" w:rsidRDefault="00D52F5D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Build confidence that client can make the change</w:t>
            </w:r>
          </w:p>
        </w:tc>
      </w:tr>
      <w:tr w:rsidR="005138D6" w:rsidRPr="00CD1032">
        <w:tblPrEx>
          <w:tblBorders>
            <w:top w:val="none" w:sz="0" w:space="0" w:color="auto"/>
          </w:tblBorders>
        </w:tblPrEx>
        <w:tc>
          <w:tcPr>
            <w:tcW w:w="2220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color w:val="003366"/>
                <w:sz w:val="18"/>
                <w:szCs w:val="26"/>
                <w:lang w:val="en-US"/>
              </w:rPr>
              <w:t>Action</w:t>
            </w:r>
          </w:p>
        </w:tc>
        <w:tc>
          <w:tcPr>
            <w:tcW w:w="330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Practicing new behavior for</w:t>
            </w:r>
            <w:r w:rsidR="00CC191C">
              <w:rPr>
                <w:rFonts w:ascii="Arial" w:hAnsi="Arial" w:cs="Times"/>
                <w:sz w:val="18"/>
                <w:szCs w:val="32"/>
                <w:lang w:val="en-US"/>
              </w:rPr>
              <w:t xml:space="preserve"> </w:t>
            </w: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3-6 months</w:t>
            </w:r>
          </w:p>
        </w:tc>
        <w:tc>
          <w:tcPr>
            <w:tcW w:w="38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441152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Focus on restructuring environment </w:t>
            </w:r>
            <w:r w:rsidR="005138D6" w:rsidRPr="00CD1032">
              <w:rPr>
                <w:rFonts w:ascii="Arial" w:hAnsi="Arial" w:cs="Arial"/>
                <w:sz w:val="18"/>
                <w:szCs w:val="26"/>
                <w:lang w:val="en-US"/>
              </w:rPr>
              <w:t>and social support</w:t>
            </w: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 to support change</w:t>
            </w:r>
          </w:p>
          <w:p w:rsidR="005138D6" w:rsidRPr="00CD1032" w:rsidRDefault="00441152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Develop</w:t>
            </w:r>
            <w:r w:rsidR="005138D6"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 self-efficacy for dealing with obstacles</w:t>
            </w:r>
          </w:p>
          <w:p w:rsidR="005138D6" w:rsidRPr="00CD1032" w:rsidRDefault="00CC191C" w:rsidP="00441152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Acknowledge</w:t>
            </w:r>
            <w:r w:rsidR="00441152"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 feelings of loss but </w:t>
            </w: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emphasize</w:t>
            </w:r>
            <w:r w:rsidR="00441152"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 the positive aspects of making the change</w:t>
            </w:r>
          </w:p>
        </w:tc>
      </w:tr>
      <w:tr w:rsidR="005138D6" w:rsidRPr="00CD1032">
        <w:tblPrEx>
          <w:tblBorders>
            <w:top w:val="none" w:sz="0" w:space="0" w:color="auto"/>
          </w:tblBorders>
        </w:tblPrEx>
        <w:tc>
          <w:tcPr>
            <w:tcW w:w="2220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color w:val="003366"/>
                <w:sz w:val="18"/>
                <w:szCs w:val="26"/>
                <w:lang w:val="en-US"/>
              </w:rPr>
              <w:t>Maintenance</w:t>
            </w:r>
          </w:p>
        </w:tc>
        <w:tc>
          <w:tcPr>
            <w:tcW w:w="330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Continued commitment to new </w:t>
            </w:r>
            <w:r w:rsidR="00CC191C" w:rsidRPr="00CD1032">
              <w:rPr>
                <w:rFonts w:ascii="Arial" w:hAnsi="Arial" w:cs="Arial"/>
                <w:sz w:val="18"/>
                <w:szCs w:val="26"/>
                <w:lang w:val="en-US"/>
              </w:rPr>
              <w:t>behavior</w:t>
            </w:r>
            <w:r w:rsidR="00CC191C">
              <w:rPr>
                <w:rFonts w:ascii="Arial" w:hAnsi="Arial" w:cs="Arial"/>
                <w:sz w:val="18"/>
                <w:szCs w:val="26"/>
                <w:lang w:val="en-US"/>
              </w:rPr>
              <w:t>.</w:t>
            </w:r>
            <w:r w:rsidR="00CC191C"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 Post</w:t>
            </w: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-6 months to 5 years</w:t>
            </w:r>
          </w:p>
        </w:tc>
        <w:tc>
          <w:tcPr>
            <w:tcW w:w="38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D52F5D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Dev plan to prevent </w:t>
            </w:r>
            <w:r w:rsidR="005138D6" w:rsidRPr="00CD1032">
              <w:rPr>
                <w:rFonts w:ascii="Arial" w:hAnsi="Arial" w:cs="Arial"/>
                <w:sz w:val="18"/>
                <w:szCs w:val="26"/>
                <w:lang w:val="en-US"/>
              </w:rPr>
              <w:t>relapse</w:t>
            </w:r>
          </w:p>
        </w:tc>
      </w:tr>
      <w:tr w:rsidR="005138D6" w:rsidRPr="00CD1032">
        <w:tblPrEx>
          <w:tblBorders>
            <w:top w:val="none" w:sz="0" w:space="0" w:color="auto"/>
            <w:bottom w:val="single" w:sz="8" w:space="0" w:color="003366"/>
          </w:tblBorders>
        </w:tblPrEx>
        <w:tc>
          <w:tcPr>
            <w:tcW w:w="2220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color w:val="003366"/>
                <w:sz w:val="18"/>
                <w:szCs w:val="26"/>
                <w:lang w:val="en-US"/>
              </w:rPr>
              <w:t>Relapse</w:t>
            </w:r>
          </w:p>
        </w:tc>
        <w:tc>
          <w:tcPr>
            <w:tcW w:w="330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Resuming old behaviors</w:t>
            </w:r>
          </w:p>
        </w:tc>
        <w:tc>
          <w:tcPr>
            <w:tcW w:w="38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18"/>
                <w:szCs w:val="26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>Evaluate trigger for relapse</w:t>
            </w:r>
          </w:p>
          <w:p w:rsidR="005138D6" w:rsidRPr="00CD1032" w:rsidRDefault="005138D6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Reframe relapse as a normal part of any change process </w:t>
            </w:r>
          </w:p>
          <w:p w:rsidR="005138D6" w:rsidRPr="00CD1032" w:rsidRDefault="00D52F5D" w:rsidP="005138D6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Times"/>
                <w:sz w:val="18"/>
                <w:szCs w:val="32"/>
                <w:lang w:val="en-US"/>
              </w:rPr>
            </w:pP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Build self efficacy and </w:t>
            </w:r>
            <w:r w:rsidR="00CC191C" w:rsidRPr="00CD1032">
              <w:rPr>
                <w:rFonts w:ascii="Arial" w:hAnsi="Arial" w:cs="Arial"/>
                <w:sz w:val="18"/>
                <w:szCs w:val="26"/>
                <w:lang w:val="en-US"/>
              </w:rPr>
              <w:t>emphasized</w:t>
            </w:r>
            <w:r w:rsidRPr="00CD1032">
              <w:rPr>
                <w:rFonts w:ascii="Arial" w:hAnsi="Arial" w:cs="Arial"/>
                <w:sz w:val="18"/>
                <w:szCs w:val="26"/>
                <w:lang w:val="en-US"/>
              </w:rPr>
              <w:t xml:space="preserve"> past success</w:t>
            </w:r>
          </w:p>
        </w:tc>
      </w:tr>
    </w:tbl>
    <w:p w:rsidR="009645E1" w:rsidRPr="00CD1032" w:rsidRDefault="009645E1">
      <w:pPr>
        <w:rPr>
          <w:rFonts w:ascii="Arial" w:hAnsi="Arial"/>
          <w:sz w:val="18"/>
        </w:rPr>
      </w:pPr>
    </w:p>
    <w:p w:rsidR="009645E1" w:rsidRPr="00CD1032" w:rsidRDefault="009645E1">
      <w:pPr>
        <w:rPr>
          <w:rFonts w:ascii="Arial" w:hAnsi="Arial"/>
          <w:b/>
          <w:sz w:val="22"/>
        </w:rPr>
      </w:pPr>
      <w:r w:rsidRPr="00CD1032">
        <w:rPr>
          <w:rFonts w:ascii="Arial" w:hAnsi="Arial"/>
          <w:b/>
          <w:sz w:val="22"/>
        </w:rPr>
        <w:t>References:</w:t>
      </w:r>
    </w:p>
    <w:p w:rsidR="00CD1032" w:rsidRPr="00CC191C" w:rsidRDefault="00B81A6C" w:rsidP="00CD1032">
      <w:pPr>
        <w:ind w:left="720" w:hanging="720"/>
        <w:rPr>
          <w:rFonts w:ascii="Arial" w:hAnsi="Arial"/>
          <w:b/>
          <w:noProof/>
          <w:sz w:val="22"/>
        </w:rPr>
      </w:pPr>
      <w:r w:rsidRPr="00CC191C">
        <w:rPr>
          <w:rFonts w:ascii="Arial" w:hAnsi="Arial"/>
          <w:b/>
          <w:sz w:val="22"/>
        </w:rPr>
        <w:fldChar w:fldCharType="begin"/>
      </w:r>
      <w:r w:rsidR="004330F9" w:rsidRPr="00CC191C">
        <w:rPr>
          <w:rFonts w:ascii="Arial" w:hAnsi="Arial"/>
          <w:b/>
          <w:sz w:val="22"/>
        </w:rPr>
        <w:instrText xml:space="preserve"> ADDIN EN.REFLIST </w:instrText>
      </w:r>
      <w:r w:rsidRPr="00CC191C">
        <w:rPr>
          <w:rFonts w:ascii="Arial" w:hAnsi="Arial"/>
          <w:b/>
          <w:sz w:val="22"/>
        </w:rPr>
        <w:fldChar w:fldCharType="separate"/>
      </w:r>
      <w:r w:rsidR="00CD1032" w:rsidRPr="00CC191C">
        <w:rPr>
          <w:rFonts w:ascii="Arial" w:hAnsi="Arial"/>
          <w:b/>
          <w:noProof/>
          <w:sz w:val="22"/>
        </w:rPr>
        <w:t xml:space="preserve">Prochaska, J. O., &amp; DiClemente, C. C. (1983). Stages and processes of self-change of smoking: Toward an integrative model of change. </w:t>
      </w:r>
      <w:r w:rsidR="00CD1032" w:rsidRPr="00CC191C">
        <w:rPr>
          <w:rFonts w:ascii="Arial" w:hAnsi="Arial"/>
          <w:b/>
          <w:i/>
          <w:noProof/>
          <w:sz w:val="22"/>
        </w:rPr>
        <w:t>Journal of Consulting Clinical Psychology, 51</w:t>
      </w:r>
      <w:r w:rsidR="00CD1032" w:rsidRPr="00CC191C">
        <w:rPr>
          <w:rFonts w:ascii="Arial" w:hAnsi="Arial"/>
          <w:b/>
          <w:noProof/>
          <w:sz w:val="22"/>
        </w:rPr>
        <w:t>(3), 390-395.</w:t>
      </w:r>
    </w:p>
    <w:p w:rsidR="00CD1032" w:rsidRPr="00CC191C" w:rsidRDefault="00CD1032" w:rsidP="00CD1032">
      <w:pPr>
        <w:ind w:left="720" w:hanging="720"/>
        <w:rPr>
          <w:rFonts w:ascii="Arial" w:hAnsi="Arial"/>
          <w:b/>
          <w:noProof/>
          <w:sz w:val="22"/>
        </w:rPr>
      </w:pPr>
      <w:r w:rsidRPr="00CC191C">
        <w:rPr>
          <w:rFonts w:ascii="Arial" w:hAnsi="Arial"/>
          <w:b/>
          <w:noProof/>
          <w:sz w:val="22"/>
        </w:rPr>
        <w:t xml:space="preserve">Prochaska, J. O., Velicer, W. F., Rossi, J. S., Goldstein, M. G., Marcus, B. H., Rakowski, W., et al. (1994). Stages of change and decisional balance for 12 problem behaviours. </w:t>
      </w:r>
      <w:r w:rsidRPr="00CC191C">
        <w:rPr>
          <w:rFonts w:ascii="Arial" w:hAnsi="Arial"/>
          <w:b/>
          <w:i/>
          <w:noProof/>
          <w:sz w:val="22"/>
        </w:rPr>
        <w:t>Health Psychology, 13</w:t>
      </w:r>
      <w:r w:rsidRPr="00CC191C">
        <w:rPr>
          <w:rFonts w:ascii="Arial" w:hAnsi="Arial"/>
          <w:b/>
          <w:noProof/>
          <w:sz w:val="22"/>
        </w:rPr>
        <w:t>(1), 39-46.</w:t>
      </w:r>
    </w:p>
    <w:p w:rsidR="00CD1032" w:rsidRPr="00CC191C" w:rsidRDefault="00CD1032" w:rsidP="00CD1032">
      <w:pPr>
        <w:ind w:left="720" w:hanging="720"/>
        <w:rPr>
          <w:rFonts w:ascii="Arial" w:hAnsi="Arial"/>
          <w:b/>
          <w:noProof/>
          <w:sz w:val="22"/>
        </w:rPr>
      </w:pPr>
    </w:p>
    <w:p w:rsidR="006144D3" w:rsidRPr="009645E1" w:rsidRDefault="00B81A6C">
      <w:pPr>
        <w:rPr>
          <w:rFonts w:ascii="Arial" w:hAnsi="Arial"/>
          <w:b/>
          <w:sz w:val="20"/>
        </w:rPr>
      </w:pPr>
      <w:r w:rsidRPr="00CC191C">
        <w:rPr>
          <w:rFonts w:ascii="Arial" w:hAnsi="Arial"/>
          <w:b/>
          <w:sz w:val="22"/>
        </w:rPr>
        <w:fldChar w:fldCharType="end"/>
      </w:r>
    </w:p>
    <w:sectPr w:rsidR="006144D3" w:rsidRPr="009645E1" w:rsidSect="006144D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841FF"/>
    <w:multiLevelType w:val="hybridMultilevel"/>
    <w:tmpl w:val="4EDA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y EndNote Library.enl&lt;/item&gt;&lt;/Libraries&gt;&lt;/ENLibraries&gt;"/>
  </w:docVars>
  <w:rsids>
    <w:rsidRoot w:val="006144D3"/>
    <w:rsid w:val="004330F9"/>
    <w:rsid w:val="00441152"/>
    <w:rsid w:val="00461841"/>
    <w:rsid w:val="005138D6"/>
    <w:rsid w:val="006144D3"/>
    <w:rsid w:val="009645E1"/>
    <w:rsid w:val="00B81A6C"/>
    <w:rsid w:val="00CC191C"/>
    <w:rsid w:val="00CD1032"/>
    <w:rsid w:val="00D52F5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3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41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AF7C-A121-4A51-A434-2DC21A07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Slinger</dc:creator>
  <cp:lastModifiedBy>Colleen  A Sullivan</cp:lastModifiedBy>
  <cp:revision>2</cp:revision>
  <dcterms:created xsi:type="dcterms:W3CDTF">2011-03-17T00:59:00Z</dcterms:created>
  <dcterms:modified xsi:type="dcterms:W3CDTF">2011-03-17T00:59:00Z</dcterms:modified>
</cp:coreProperties>
</file>